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TCSU TREASURER ACCOUNTABILITY DOC – MANDATE 2020-21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In my manifesto, I expressed the desire to follow two lines throughout my mandate as TCSU Treasurer: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Maintaining what has been done already: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Support Trinity societies by overseeing, along with the Junior Steward, the distribution of money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Maintaining the discounts that have been established already: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Cambridge Be Waffle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Cambridge Crepe Van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Hong Kong Fusion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Don Pasquale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en-US"/>
        </w:rPr>
        <w:t>Fulfill all the responsibilities allocated to the role of Treasurer: budget proposals and budget reports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Improvements to life at Trinity</w:t>
      </w:r>
    </w:p>
    <w:p>
      <w:pPr>
        <w:pStyle w:val="ListParagraph"/>
        <w:ind w:left="108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Improvements in cooperation with the rest of the TCSU committee</w:t>
      </w:r>
    </w:p>
    <w:p>
      <w:pPr>
        <w:pStyle w:val="ListParagraph"/>
        <w:ind w:left="180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Engage in discussion with the college about the improvement of cooking facilities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Set up microwave cooking lessons in cooperation with the BA Society</w:t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Engage in discussion with the college about the Trinity gym: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Determine to what extent it should be redone and how so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Lights in Burrell’s and down the Avenue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Improvements which I can work specifically on through my role as Treasurer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Investigate Barclays regarding responsible investment and consider, if possible, alternatives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 student awareness of discounts, not only reserved for Trinity students, but also to Cambridge students in general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 common college spaces, in particular the Junior Common Room (JCR)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TCSU TREASURER ACCOUNTABILITY DOC- LENT 2020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For my first term as TCSU Treasurer (Lent 2020), my goals will be the following: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Improvement of common spaces: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Engage discussions with the TCSU Senior Treasurer to buy a new pool table and consider buying a fuzzball table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Discounts: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Maintain the ones that have been established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Negotiate at least one more discount for Trinity students 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the students more aware of all the discounts by making a list of all that are available and sending it out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Barclays 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the handover period as smooth and quick as possible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Investigate about responsible investment</w:t>
      </w:r>
    </w:p>
    <w:p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Investigation of Barclays</w:t>
      </w:r>
    </w:p>
    <w:p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Building more awareness of the issue through discussions with the Trinity Responsible Investment Society and people currently committed to making changes on this issue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Treasurer responsibilities: budget and finances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an annual budget proposal by the Open Meeting at the end of Lent Term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Budget out spending over the year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Use the previous year’s expenditure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 least 20% should be spent on welfare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Freshers’ Week budget proposal (mid-April)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Budget out expenditure for Freshers’ Week 2020, sent out to the Dean</w:t>
      </w:r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Use the previous year’s spending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Liaise with Catering to find out how much events they will Cater for will cost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31de6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31de6"/>
    <w:pPr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38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LibreOffice/6.0.7.3$Linux_X86_64 LibreOffice_project/00m0$Build-3</Application>
  <Pages>2</Pages>
  <Words>433</Words>
  <Characters>2194</Characters>
  <CharactersWithSpaces>2550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2020-02-10T11:25:00Z</dcterms:created>
  <dc:creator>Maelle-Marie Troadec</dc:creator>
  <dc:description/>
  <dc:language>en-GB</dc:language>
  <cp:lastModifiedBy/>
  <dcterms:modified xsi:type="dcterms:W3CDTF">2020-02-27T17:42:00Z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